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66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966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№ </w:t>
            </w:r>
            <w:r>
              <w:t xml:space="preserve">213964/ОК-ИП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Открытый конкурс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Бумажная продукция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«22»</w:t>
            </w:r>
            <w:r>
              <w:t xml:space="preserve"> октября </w:t>
            </w:r>
            <w:r>
              <w:t xml:space="preserve">20</w:t>
            </w:r>
            <w:r>
              <w:t xml:space="preserve">24</w:t>
            </w:r>
            <w:r>
              <w:t xml:space="preserve">г. 09:</w:t>
            </w:r>
            <w:r>
              <w:t xml:space="preserve">00</w:t>
            </w:r>
            <w:r>
              <w:t xml:space="preserve"> (</w:t>
            </w:r>
            <w: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«22» октября 2024г. 09:00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3 037 514,00</w:t>
            </w:r>
            <w:r>
              <w:t xml:space="preserve"> </w:t>
            </w:r>
            <w:r>
              <w:t xml:space="preserve">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66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66"/>
        <w:ind w:firstLine="709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66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6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6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6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6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6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11.09.2024 17:36:19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6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96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</w:t>
            </w:r>
            <w:r>
              <w:rPr>
                <w:sz w:val="20"/>
                <w:szCs w:val="20"/>
                <w:u w:val="single"/>
              </w:rPr>
              <w:t xml:space="preserve">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16.09.2024 09:38:39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6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6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18.09.2024 09:34:31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66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66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>
        <w:rPr>
          <w:color w:val="ff0000"/>
        </w:rPr>
      </w:r>
      <w:r/>
    </w:p>
    <w:p>
      <w:pPr>
        <w:pStyle w:val="96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spacing w:before="120" w:after="120"/>
        <w:widowControl w:val="off"/>
      </w:pPr>
      <w:r/>
      <w:r/>
      <w:r>
        <w:t xml:space="preserve">Предлагается отк</w:t>
      </w:r>
      <w:r>
        <w:t xml:space="preserve">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</w:t>
      </w:r>
      <w:r>
        <w:t xml:space="preserve">.</w:t>
      </w:r>
      <w:r/>
    </w:p>
    <w:p>
      <w:pPr>
        <w:pStyle w:val="96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widowControl w:val="off"/>
      </w:pPr>
      <w:r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t xml:space="preserve">.</w:t>
      </w:r>
      <w:r/>
      <w:r/>
    </w:p>
    <w:p>
      <w:pPr>
        <w:pStyle w:val="966"/>
        <w:jc w:val="both"/>
        <w:widowControl w:val="off"/>
        <w:rPr>
          <w:highlight w:val="none"/>
        </w:rPr>
      </w:pPr>
      <w:r>
        <w:t xml:space="preserve">Признать победителем участника, занявшего первое место, согласно итоговому ранжированию.</w:t>
      </w:r>
      <w:r>
        <w:rPr>
          <w:highlight w:val="none"/>
        </w:rPr>
      </w:r>
    </w:p>
    <w:p>
      <w:pPr>
        <w:jc w:val="both"/>
        <w:widowControl w:val="off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66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4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966"/>
        <w:ind w:firstLine="709"/>
        <w:jc w:val="both"/>
        <w:spacing w:before="120" w:after="120"/>
      </w:pPr>
      <w:r/>
      <w:bookmarkStart w:id="6" w:name="_Hlk91153393"/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66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966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66"/>
        <w:jc w:val="both"/>
      </w:pPr>
      <w:r/>
      <w:bookmarkEnd w:id="6"/>
      <w:r/>
      <w:r/>
    </w:p>
    <w:p>
      <w:pPr>
        <w:pStyle w:val="966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  <w:tab w:val="left" w:pos="709" w:leader="none"/>
        </w:tabs>
      </w:pPr>
      <w:r/>
      <w:r/>
      <w:bookmarkStart w:id="8" w:name="_Hlk91153401"/>
      <w:r>
        <w:t xml:space="preserve">Отклонить </w:t>
      </w:r>
      <w:r>
        <w:t xml:space="preserve">заявки</w:t>
      </w:r>
      <w:r>
        <w:t xml:space="preserve"> </w:t>
      </w:r>
      <w:r>
        <w:t xml:space="preserve">участников в соответствии со Сводным отчетом Экспертной группы (приложение № 1).</w:t>
      </w:r>
      <w:r>
        <w:rPr>
          <w:i/>
          <w:color w:val="548dd4"/>
        </w:rPr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</w:pPr>
      <w:r/>
      <w:bookmarkEnd w:id="8"/>
      <w:r/>
      <w:r/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r>
        <w:rPr>
          <w:color w:val="548dd4"/>
        </w:rPr>
      </w:r>
      <w:r/>
    </w:p>
    <w:p>
      <w:pPr>
        <w:pStyle w:val="966"/>
        <w:jc w:val="both"/>
        <w:spacing w:before="120"/>
        <w:tabs>
          <w:tab w:val="left" w:pos="-2835" w:leader="none"/>
        </w:tabs>
        <w:rPr>
          <w:color w:val="548dd4"/>
        </w:rPr>
      </w:pPr>
      <w:r>
        <w:t xml:space="preserve">Признать победителем участника, занявшего первое место, согласно итоговому ранжированию.</w:t>
      </w:r>
      <w:r>
        <w:rPr>
          <w:color w:val="548dd4"/>
        </w:rPr>
      </w:r>
      <w:r>
        <w:rPr>
          <w:color w:val="548dd4"/>
        </w:rPr>
      </w:r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966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966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  <w:rPr>
          <w14:ligatures w14:val="none"/>
        </w:rPr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ind w:left="0" w:firstLine="0"/>
        <w:jc w:val="both"/>
        <w:spacing w:before="120"/>
        <w:tabs>
          <w:tab w:val="left" w:pos="709" w:leader="none"/>
        </w:tabs>
        <w:rPr>
          <w14:ligatures w14:val="none"/>
        </w:rPr>
      </w:pPr>
      <w:r>
        <w:rPr>
          <w:highlight w:val="none"/>
        </w:rPr>
      </w:r>
      <w:r>
        <w:rPr>
          <w:highlight w:val="none"/>
        </w:rPr>
      </w:r>
      <w:r>
        <w:rPr>
          <w14:ligatures w14:val="none"/>
        </w:rPr>
      </w:r>
    </w:p>
    <w:p>
      <w:pPr>
        <w:ind w:left="0" w:firstLine="0"/>
        <w:jc w:val="both"/>
        <w:spacing w:before="120"/>
        <w:tabs>
          <w:tab w:val="left" w:pos="709" w:leader="none"/>
        </w:tabs>
        <w:rPr>
          <w14:ligatures w14:val="none"/>
        </w:rPr>
      </w:pPr>
      <w:r>
        <w:tab/>
        <w:t xml:space="preserve">Приложение:</w:t>
      </w:r>
      <w:r>
        <w:rPr>
          <w14:ligatures w14:val="none"/>
        </w:rPr>
      </w:r>
      <w:r>
        <w:rPr>
          <w14:ligatures w14:val="none"/>
        </w:rPr>
      </w:r>
    </w:p>
    <w:p>
      <w:pPr>
        <w:ind w:left="0" w:firstLine="0"/>
        <w:jc w:val="both"/>
        <w:spacing w:before="120"/>
        <w:tabs>
          <w:tab w:val="left" w:pos="709" w:leader="none"/>
        </w:tabs>
        <w:rPr>
          <w14:ligatures w14:val="none"/>
        </w:rPr>
      </w:pPr>
      <w:r>
        <w:tab/>
        <w:t xml:space="preserve">Приложение 1.</w:t>
      </w:r>
      <w:r>
        <w:rPr>
          <w14:ligatures w14:val="none"/>
        </w:rPr>
      </w:r>
      <w:r>
        <w:rPr>
          <w14:ligatures w14:val="none"/>
        </w:rPr>
      </w:r>
      <w:r/>
      <w:r/>
      <w:r>
        <w:rPr>
          <w14:ligatures w14:val="none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6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6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6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6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2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1"/>
    <w:basedOn w:val="966"/>
    <w:next w:val="966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9">
    <w:name w:val="Heading 1 Char"/>
    <w:link w:val="788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6"/>
    <w:next w:val="966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6"/>
    <w:next w:val="966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6"/>
    <w:next w:val="966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6"/>
    <w:next w:val="966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6"/>
    <w:next w:val="966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6"/>
    <w:next w:val="966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6"/>
    <w:next w:val="966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6"/>
    <w:next w:val="966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List Paragraph"/>
    <w:basedOn w:val="966"/>
    <w:uiPriority w:val="34"/>
    <w:qFormat/>
    <w:pPr>
      <w:contextualSpacing/>
      <w:ind w:left="720"/>
    </w:p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6"/>
    <w:next w:val="966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link w:val="808"/>
    <w:uiPriority w:val="10"/>
    <w:rPr>
      <w:sz w:val="48"/>
      <w:szCs w:val="48"/>
    </w:rPr>
  </w:style>
  <w:style w:type="paragraph" w:styleId="810">
    <w:name w:val="Subtitle"/>
    <w:basedOn w:val="966"/>
    <w:next w:val="966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link w:val="810"/>
    <w:uiPriority w:val="11"/>
    <w:rPr>
      <w:sz w:val="24"/>
      <w:szCs w:val="24"/>
    </w:rPr>
  </w:style>
  <w:style w:type="paragraph" w:styleId="812">
    <w:name w:val="Quote"/>
    <w:basedOn w:val="966"/>
    <w:next w:val="966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6"/>
    <w:next w:val="966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paragraph" w:styleId="816">
    <w:name w:val="Header"/>
    <w:basedOn w:val="966"/>
    <w:link w:val="8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Header Char"/>
    <w:link w:val="816"/>
    <w:uiPriority w:val="99"/>
  </w:style>
  <w:style w:type="paragraph" w:styleId="818">
    <w:name w:val="Footer"/>
    <w:basedOn w:val="966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Footer Char"/>
    <w:link w:val="818"/>
    <w:uiPriority w:val="99"/>
  </w:style>
  <w:style w:type="paragraph" w:styleId="820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818"/>
    <w:uiPriority w:val="99"/>
  </w:style>
  <w:style w:type="table" w:styleId="8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8">
    <w:name w:val="Hyperlink"/>
    <w:uiPriority w:val="99"/>
    <w:unhideWhenUsed/>
    <w:rPr>
      <w:color w:val="0000ff" w:themeColor="hyperlink"/>
      <w:u w:val="single"/>
    </w:r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next w:val="966"/>
    <w:link w:val="966"/>
    <w:qFormat/>
    <w:rPr>
      <w:sz w:val="24"/>
      <w:szCs w:val="24"/>
      <w:lang w:val="ru-RU" w:eastAsia="ru-RU" w:bidi="ar-SA"/>
    </w:rPr>
  </w:style>
  <w:style w:type="paragraph" w:styleId="967">
    <w:name w:val="Заголовок 1"/>
    <w:basedOn w:val="966"/>
    <w:next w:val="966"/>
    <w:link w:val="966"/>
    <w:qFormat/>
    <w:pPr>
      <w:jc w:val="both"/>
      <w:keepNext/>
      <w:outlineLvl w:val="0"/>
    </w:pPr>
    <w:rPr>
      <w:sz w:val="28"/>
      <w:szCs w:val="28"/>
    </w:rPr>
  </w:style>
  <w:style w:type="character" w:styleId="968">
    <w:name w:val="Основной шрифт абзаца"/>
    <w:next w:val="968"/>
    <w:link w:val="966"/>
    <w:semiHidden/>
  </w:style>
  <w:style w:type="table" w:styleId="969">
    <w:name w:val="Обычная таблица"/>
    <w:next w:val="969"/>
    <w:link w:val="966"/>
    <w:semiHidden/>
    <w:tblPr/>
  </w:style>
  <w:style w:type="numbering" w:styleId="970">
    <w:name w:val="Нет списка"/>
    <w:next w:val="970"/>
    <w:link w:val="966"/>
    <w:semiHidden/>
  </w:style>
  <w:style w:type="paragraph" w:styleId="971">
    <w:name w:val="Default Paragraph Font Para Char Char Знак"/>
    <w:basedOn w:val="966"/>
    <w:next w:val="971"/>
    <w:link w:val="9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2">
    <w:name w:val="Верхний колонтитул"/>
    <w:basedOn w:val="966"/>
    <w:next w:val="972"/>
    <w:link w:val="99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73">
    <w:name w:val="Номер страницы"/>
    <w:basedOn w:val="968"/>
    <w:next w:val="973"/>
    <w:link w:val="966"/>
  </w:style>
  <w:style w:type="paragraph" w:styleId="974">
    <w:name w:val="Таблица шапка"/>
    <w:basedOn w:val="966"/>
    <w:next w:val="974"/>
    <w:link w:val="966"/>
    <w:pPr>
      <w:ind w:left="57" w:right="57"/>
      <w:keepNext/>
      <w:spacing w:before="40" w:after="40"/>
    </w:pPr>
    <w:rPr>
      <w:sz w:val="22"/>
      <w:szCs w:val="20"/>
    </w:rPr>
  </w:style>
  <w:style w:type="paragraph" w:styleId="975">
    <w:name w:val="Таблица текст"/>
    <w:basedOn w:val="966"/>
    <w:next w:val="975"/>
    <w:link w:val="966"/>
    <w:pPr>
      <w:ind w:left="57" w:right="57"/>
      <w:spacing w:before="40" w:after="40"/>
    </w:pPr>
    <w:rPr>
      <w:szCs w:val="20"/>
    </w:rPr>
  </w:style>
  <w:style w:type="character" w:styleId="976">
    <w:name w:val="комментарий"/>
    <w:next w:val="976"/>
    <w:link w:val="966"/>
    <w:rPr>
      <w:b/>
      <w:i/>
      <w:shd w:val="clear" w:color="auto" w:fill="ffff99"/>
    </w:rPr>
  </w:style>
  <w:style w:type="paragraph" w:styleId="977">
    <w:name w:val="Схема документа"/>
    <w:basedOn w:val="966"/>
    <w:next w:val="977"/>
    <w:link w:val="96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78">
    <w:name w:val="Текст выноски"/>
    <w:basedOn w:val="966"/>
    <w:next w:val="978"/>
    <w:link w:val="966"/>
    <w:semiHidden/>
    <w:rPr>
      <w:rFonts w:ascii="Tahoma" w:hAnsi="Tahoma" w:cs="Tahoma"/>
      <w:sz w:val="16"/>
      <w:szCs w:val="16"/>
    </w:rPr>
  </w:style>
  <w:style w:type="table" w:styleId="979">
    <w:name w:val="Сетка таблицы"/>
    <w:basedOn w:val="969"/>
    <w:next w:val="979"/>
    <w:link w:val="966"/>
    <w:pPr>
      <w:ind w:firstLine="567"/>
      <w:jc w:val="both"/>
      <w:spacing w:line="360" w:lineRule="auto"/>
    </w:pPr>
    <w:tblPr/>
  </w:style>
  <w:style w:type="paragraph" w:styleId="980">
    <w:name w:val="Нижний колонтитул"/>
    <w:basedOn w:val="966"/>
    <w:next w:val="980"/>
    <w:link w:val="98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1">
    <w:name w:val="Комментраий Знак"/>
    <w:next w:val="981"/>
    <w:link w:val="966"/>
    <w:rPr>
      <w:i/>
      <w:color w:val="3366ff"/>
      <w:sz w:val="28"/>
      <w:szCs w:val="28"/>
      <w:lang w:val="ru-RU" w:eastAsia="ru-RU" w:bidi="ar-SA"/>
    </w:rPr>
  </w:style>
  <w:style w:type="table" w:styleId="982">
    <w:name w:val="Сетка таблицы1"/>
    <w:basedOn w:val="969"/>
    <w:next w:val="979"/>
    <w:link w:val="966"/>
    <w:tblPr/>
  </w:style>
  <w:style w:type="character" w:styleId="983">
    <w:name w:val="Нижний колонтитул Знак"/>
    <w:next w:val="983"/>
    <w:link w:val="980"/>
    <w:uiPriority w:val="99"/>
    <w:rPr>
      <w:sz w:val="24"/>
      <w:szCs w:val="24"/>
    </w:rPr>
  </w:style>
  <w:style w:type="paragraph" w:styleId="984">
    <w:name w:val="Обычный (веб)"/>
    <w:basedOn w:val="966"/>
    <w:next w:val="984"/>
    <w:link w:val="96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85">
    <w:name w:val="Основной текст"/>
    <w:basedOn w:val="966"/>
    <w:next w:val="985"/>
    <w:link w:val="986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86">
    <w:name w:val="Основной текст Знак"/>
    <w:next w:val="986"/>
    <w:link w:val="985"/>
    <w:uiPriority w:val="99"/>
    <w:rPr>
      <w:sz w:val="24"/>
      <w:szCs w:val="24"/>
    </w:rPr>
  </w:style>
  <w:style w:type="paragraph" w:styleId="987">
    <w:name w:val="Основной текст с отступом"/>
    <w:basedOn w:val="966"/>
    <w:next w:val="987"/>
    <w:link w:val="988"/>
    <w:pPr>
      <w:ind w:left="283"/>
      <w:spacing w:after="120"/>
    </w:pPr>
    <w:rPr>
      <w:lang w:val="en-US" w:eastAsia="en-US"/>
    </w:rPr>
  </w:style>
  <w:style w:type="character" w:styleId="988">
    <w:name w:val="Основной текст с отступом Знак"/>
    <w:next w:val="988"/>
    <w:link w:val="987"/>
    <w:rPr>
      <w:sz w:val="24"/>
      <w:szCs w:val="24"/>
    </w:rPr>
  </w:style>
  <w:style w:type="paragraph" w:styleId="989">
    <w:name w:val="Красная строка 2"/>
    <w:basedOn w:val="987"/>
    <w:next w:val="989"/>
    <w:link w:val="990"/>
    <w:uiPriority w:val="99"/>
    <w:unhideWhenUsed/>
    <w:pPr>
      <w:ind w:left="360" w:firstLine="360"/>
      <w:spacing w:after="0"/>
      <w:widowControl w:val="off"/>
    </w:pPr>
  </w:style>
  <w:style w:type="character" w:styleId="990">
    <w:name w:val="Красная строка 2 Знак"/>
    <w:basedOn w:val="988"/>
    <w:next w:val="990"/>
    <w:link w:val="989"/>
    <w:uiPriority w:val="99"/>
  </w:style>
  <w:style w:type="paragraph" w:styleId="991">
    <w:name w:val="Текст сноски"/>
    <w:basedOn w:val="966"/>
    <w:next w:val="991"/>
    <w:link w:val="992"/>
    <w:uiPriority w:val="99"/>
    <w:unhideWhenUsed/>
    <w:pPr>
      <w:widowControl w:val="off"/>
    </w:pPr>
    <w:rPr>
      <w:sz w:val="20"/>
      <w:szCs w:val="20"/>
    </w:rPr>
  </w:style>
  <w:style w:type="character" w:styleId="992">
    <w:name w:val="Текст сноски Знак"/>
    <w:basedOn w:val="968"/>
    <w:next w:val="992"/>
    <w:link w:val="991"/>
    <w:uiPriority w:val="99"/>
  </w:style>
  <w:style w:type="character" w:styleId="993">
    <w:name w:val="Знак сноски"/>
    <w:next w:val="993"/>
    <w:link w:val="966"/>
    <w:uiPriority w:val="99"/>
    <w:unhideWhenUsed/>
    <w:rPr>
      <w:vertAlign w:val="superscript"/>
    </w:rPr>
  </w:style>
  <w:style w:type="character" w:styleId="994">
    <w:name w:val="Верхний колонтитул Знак"/>
    <w:next w:val="994"/>
    <w:link w:val="972"/>
    <w:uiPriority w:val="99"/>
    <w:rPr>
      <w:sz w:val="24"/>
      <w:szCs w:val="24"/>
    </w:rPr>
  </w:style>
  <w:style w:type="character" w:styleId="995">
    <w:name w:val="Знак примечания"/>
    <w:next w:val="995"/>
    <w:link w:val="966"/>
    <w:rPr>
      <w:sz w:val="16"/>
      <w:szCs w:val="16"/>
    </w:rPr>
  </w:style>
  <w:style w:type="paragraph" w:styleId="996">
    <w:name w:val="Текст примечания"/>
    <w:basedOn w:val="966"/>
    <w:next w:val="996"/>
    <w:link w:val="997"/>
    <w:rPr>
      <w:sz w:val="20"/>
      <w:szCs w:val="20"/>
    </w:rPr>
  </w:style>
  <w:style w:type="character" w:styleId="997">
    <w:name w:val="Текст примечания Знак"/>
    <w:basedOn w:val="968"/>
    <w:next w:val="997"/>
    <w:link w:val="996"/>
  </w:style>
  <w:style w:type="paragraph" w:styleId="998">
    <w:name w:val="Тема примечания"/>
    <w:basedOn w:val="996"/>
    <w:next w:val="996"/>
    <w:link w:val="999"/>
    <w:rPr>
      <w:b/>
      <w:bCs/>
      <w:lang w:val="en-US" w:eastAsia="en-US"/>
    </w:rPr>
  </w:style>
  <w:style w:type="character" w:styleId="999">
    <w:name w:val="Тема примечания Знак"/>
    <w:next w:val="999"/>
    <w:link w:val="998"/>
    <w:rPr>
      <w:b/>
      <w:bCs/>
    </w:rPr>
  </w:style>
  <w:style w:type="paragraph" w:styleId="1000">
    <w:name w:val="Подподпункт"/>
    <w:basedOn w:val="966"/>
    <w:next w:val="1000"/>
    <w:link w:val="966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1">
    <w:name w:val="Рецензия"/>
    <w:next w:val="1001"/>
    <w:link w:val="966"/>
    <w:hidden/>
    <w:uiPriority w:val="99"/>
    <w:semiHidden/>
    <w:rPr>
      <w:sz w:val="24"/>
      <w:szCs w:val="24"/>
      <w:lang w:val="ru-RU" w:eastAsia="ru-RU" w:bidi="ar-SA"/>
    </w:rPr>
  </w:style>
  <w:style w:type="paragraph" w:styleId="1002">
    <w:name w:val="Текст"/>
    <w:basedOn w:val="966"/>
    <w:next w:val="1002"/>
    <w:link w:val="1003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03">
    <w:name w:val="Текст Знак"/>
    <w:next w:val="1003"/>
    <w:link w:val="1002"/>
    <w:uiPriority w:val="99"/>
    <w:rPr>
      <w:rFonts w:ascii="Calibri" w:hAnsi="Calibri" w:eastAsia="Calibri"/>
      <w:sz w:val="22"/>
      <w:szCs w:val="21"/>
      <w:lang w:eastAsia="en-US"/>
    </w:rPr>
  </w:style>
  <w:style w:type="character" w:styleId="1004" w:default="1">
    <w:name w:val="Default Paragraph Font"/>
    <w:uiPriority w:val="1"/>
    <w:semiHidden/>
    <w:unhideWhenUsed/>
  </w:style>
  <w:style w:type="numbering" w:styleId="1005" w:default="1">
    <w:name w:val="No List"/>
    <w:uiPriority w:val="99"/>
    <w:semiHidden/>
    <w:unhideWhenUsed/>
  </w:style>
  <w:style w:type="table" w:styleId="10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3</cp:revision>
  <dcterms:created xsi:type="dcterms:W3CDTF">2023-09-22T06:29:00Z</dcterms:created>
  <dcterms:modified xsi:type="dcterms:W3CDTF">2024-10-22T07:49:58Z</dcterms:modified>
  <cp:version>1048576</cp:version>
</cp:coreProperties>
</file>